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21"/>
    <w:p>
      <w:pPr>
        <w:pStyle w:val="Heading1"/>
      </w:pPr>
      <w:r>
        <w:t xml:space="preserve">Homiletics Analysis: Deuteronomy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21 addresses five distinct legal cases through which Israel is to maintain covenant holiness in the land: (1) an unsolved murder requiring communal atonement by the elders and priests (vv. 1–9); (2) the rights and protections afforded to a captive woman taken as a wife (vv. 10–14); (3) the inheritance rights of the firstborn son of an unloved wife, guarding against paternal favoritism (vv. 15–17); (4) the procedure for dealing with a persistently rebellious son (vv. 18–21); and (5) the proper treatment of the body of an executed criminal, who must be buried the same day because a hanged man is</w:t>
      </w:r>
      <w:r>
        <w:t xml:space="preserve"> </w:t>
      </w:r>
      <w:r>
        <w:t xml:space="preserve">“cursed of God”</w:t>
      </w:r>
      <w:r>
        <w:t xml:space="preserve"> </w:t>
      </w:r>
      <w:r>
        <w:t xml:space="preserve">(vv. 22–23). Though the five cases appear disparate, they are unified by a single organizing concern: how Israel is to maintain ritual, moral, and communal purity within the covenant land the LORD has given them. Blood guilt, family disorder, sexual exploitation, persistent rebellion, and the defilement of the land — each case represents a vector of corruption that must be addressed by right order under Torah.</w:t>
      </w:r>
    </w:p>
    <w:p>
      <w:pPr>
        <w:pStyle w:val="BodyText"/>
      </w:pPr>
      <w:r>
        <w:rPr>
          <w:b/>
          <w:bCs/>
        </w:rPr>
        <w:t xml:space="preserve">This Text — Intent:</w:t>
      </w:r>
    </w:p>
    <w:p>
      <w:pPr>
        <w:pStyle w:val="BodyText"/>
      </w:pPr>
      <w:r>
        <w:t xml:space="preserve">God is not merely providing legal case studies. Through these laws, He is forming a community in which human dignity is protected, blood guilt is taken seriously, the vulnerable are shielded from exploitation, familial authority operates under divine constraint, and the land itself is kept holy before the LORD. The intent is to produce in Israel — and in every reader — a deep awareness that every death, every marriage, every inheritance dispute, every act of rebellion, and every executed body is a covenant matter. Nothing is merely private or merely procedural. The LORD is present in the land, and the land must not be defiled. At the passage’s center lies a solemn and later canonically explosive phrase: the hanged man bears the curse of God (v. 23) — a statement that will become, in Paul’s hands, the theological linchpin of the atonement.</w:t>
      </w:r>
    </w:p>
    <w:p>
      <w:r>
        <w:pict>
          <v:rect style="width:0;height:1.5pt" o:hralign="center" o:hrstd="t" o:hr="t"/>
        </w:pict>
      </w:r>
    </w:p>
    <w:p>
      <w:pPr>
        <w:pStyle w:val="FirstParagraph"/>
      </w:pPr>
      <w:r>
        <w:rPr>
          <w:b/>
          <w:bCs/>
        </w:rPr>
        <w:t xml:space="preserve">Subject Sentence:</w:t>
      </w:r>
      <w:r>
        <w:t xml:space="preserve"> </w:t>
      </w:r>
      <w:r>
        <w:t xml:space="preserve">The LORD orders communal life under Torah so that the covenant land is kept free from blood guilt, exploitation, and defilement.</w:t>
      </w:r>
    </w:p>
    <w:p>
      <w:r>
        <w:pict>
          <v:rect style="width:0;height:1.5pt" o:hralign="center" o:hrstd="t" o:hr="t"/>
        </w:pict>
      </w:r>
    </w:p>
    <w:p>
      <w:pPr>
        <w:pStyle w:val="FirstParagraph"/>
      </w:pPr>
      <w:r>
        <w:rPr>
          <w:b/>
          <w:bCs/>
        </w:rPr>
        <w:t xml:space="preserve">Primary Claim:</w:t>
      </w:r>
      <w:r>
        <w:t xml:space="preserve"> </w:t>
      </w:r>
      <w:r>
        <w:t xml:space="preserve">God is calling His covenant people to take seriously that every disorder in human community — unresolved death, exploited vulnerability, corrupted inheritance, incorrigible rebellion, and the curse of execution — carries weight before Him and must be addressed by right order, not ignored; and beneath it all, the curse that hangs over the executed man points forward to the One who will bear the full weight of that curse for His people.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unity of the chapter’s cases.</w:t>
      </w:r>
      <w:r>
        <w:t xml:space="preserve"> </w:t>
      </w:r>
      <w:r>
        <w:t xml:space="preserve">A common homiletical temptation is to treat Deuteronomy 21 as a miscellany — a grab-bag of ancient Israelite case law with no organizing theme. This reading is not without basis; the five cases do not share a single surface topic. But it underestimates the literary and theological coherence of Deuteronomic law. The recurring refrain</w:t>
      </w:r>
      <w:r>
        <w:t xml:space="preserve"> </w:t>
      </w:r>
      <w:r>
        <w:t xml:space="preserve">“you shall purge the evil from your midst”</w:t>
      </w:r>
      <w:r>
        <w:t xml:space="preserve"> </w:t>
      </w:r>
      <w:r>
        <w:t xml:space="preserve">(or its conceptual equivalent in the land-defilement language of vv. 1, 9, 23) signals that the chapter has a spine: the land is holy because the LORD dwells in it, and every form of human disorder — from unsolved murder to a hanging corpse left overnight — constitutes a defilement that must be actively addressed. The cases are not randomly assembled; they move across the domains of communal life (murder, war, family, lineage, crime) to show that covenant holiness is total, not selective.</w:t>
      </w:r>
    </w:p>
    <w:p>
      <w:pPr>
        <w:pStyle w:val="BodyText"/>
      </w:pPr>
      <w:r>
        <w:rPr>
          <w:b/>
          <w:bCs/>
        </w:rPr>
        <w:t xml:space="preserve">The captive woman (vv. 10–14).</w:t>
      </w:r>
      <w:r>
        <w:t xml:space="preserve"> </w:t>
      </w:r>
      <w:r>
        <w:t xml:space="preserve">Dispensational and Baptist traditions sometimes read this passage as divine regulation of what is essentially a morally neutral practice of war — the laws are simply accommodating ancient Near Eastern military custom. This reading partially holds: the laws do regulate rather than mandate this practice, and they do represent a real elevation of the woman’s status compared to ancient Near Eastern norms (she is not simply a slave or a concubine without rights; she must be given a month for mourning, and if divorced she must be set free, not sold). However, this reading should be qualified: the passage does not merely regulate a neutral custom — it inserts the woman’s humanity, grief, and dignity into the legal framework. The Reformed reading presses further: this is not an endorsement of the practice but a covenant constraint on the dehumanizing impulses of war. The law protects the vulnerable even in the context it cannot immediately eliminate. That said, the text does not condemn the practice outright, and over-reading it as an abolitionist text would impose later categories.</w:t>
      </w:r>
    </w:p>
    <w:p>
      <w:pPr>
        <w:pStyle w:val="BodyText"/>
      </w:pPr>
      <w:r>
        <w:rPr>
          <w:b/>
          <w:bCs/>
        </w:rPr>
        <w:t xml:space="preserve">The rebellious son (vv. 18–21).</w:t>
      </w:r>
      <w:r>
        <w:t xml:space="preserve"> </w:t>
      </w:r>
      <w:r>
        <w:t xml:space="preserve">Wesleyan and some Baptist readings are drawn to emphasize the parents’ role, the procedural protections (the matter is brought to the elders, not handled privately), and the community’s responsibility — concluding that the law’s purpose is primarily deterrence and communal accountability. This is substantially correct and worth retaining. The Reformed reading adds the covenantal dimension: the son who</w:t>
      </w:r>
      <w:r>
        <w:t xml:space="preserve"> </w:t>
      </w:r>
      <w:r>
        <w:t xml:space="preserve">“will not obey”</w:t>
      </w:r>
      <w:r>
        <w:t xml:space="preserve"> </w:t>
      </w:r>
      <w:r>
        <w:t xml:space="preserve">and is</w:t>
      </w:r>
      <w:r>
        <w:t xml:space="preserve"> </w:t>
      </w:r>
      <w:r>
        <w:t xml:space="preserve">“a glutton and a drunkard”</w:t>
      </w:r>
      <w:r>
        <w:t xml:space="preserve"> </w:t>
      </w:r>
      <w:r>
        <w:t xml:space="preserve">is not merely a domestic problem — he is a covenant apostate whose persistent, public, shameless rejection of parental authority represents a rejection of the covenant order under which Israel lives. The death penalty in this case is not arbitrary severity; it is the covenant’s answer to what happens when a member of the community becomes a destructive, unreformable force. The Wesleyan instinct to emphasize parental and communal process is correct but incomplete without this covenantal grounding.</w:t>
      </w:r>
    </w:p>
    <w:p>
      <w:pPr>
        <w:pStyle w:val="BodyText"/>
      </w:pPr>
      <w:r>
        <w:rPr>
          <w:b/>
          <w:bCs/>
        </w:rPr>
        <w:t xml:space="preserve">The hanged man and the curse (vv. 22–23).</w:t>
      </w:r>
      <w:r>
        <w:t xml:space="preserve"> </w:t>
      </w:r>
      <w:r>
        <w:t xml:space="preserve">This is the passage’s most significant interpretive divide, and the one with the greatest canonical consequence. Dispensational and some Jewish-Christian readings treat this simply as a purity law: a hanged body defiles the land and must be removed quickly. That is exegetically accurate at the surface level. The Reformed and New Testament reading, however — grounded in Paul’s explicit citation in Galatians 3:13 (</w:t>
      </w:r>
      <w:r>
        <w:t xml:space="preserve">“Christ redeemed us from the curse of the law by becoming a curse for us — for it is written,</w:t>
      </w:r>
      <w:r>
        <w:t xml:space="preserve"> </w:t>
      </w:r>
      <w:r>
        <w:t xml:space="preserve">‘Cursed is everyone who is hanged on a tree’</w:t>
      </w:r>
      <w:r>
        <w:t xml:space="preserve">”</w:t>
      </w:r>
      <w:r>
        <w:t xml:space="preserve">) — reads this passage as carrying prospective theological weight. The one executed and hung on a tree bears not merely social shame but a specific divine curse. This cannot be reduced to a purity regulation once Paul has drawn the line through it. The Reformed reading does not impose this meaning onto Deuteronomy 21 from outside; it reads Deuteronomy 21 as part of a canonical arc that Paul himself traces. The text was always pointing somewhere. The Reformed reading holds that Deuteronomy 21:23 is one of the Bible’s starkest curse-bearing texts, and that its ultimate referent is Christ on the cross — bearing the curse that belongs to every rebellious son in Israel and every sinner under the law.</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Galatians 3:10–13</w:t>
      </w:r>
      <w:r>
        <w:t xml:space="preserve"> </w:t>
      </w:r>
      <w:r>
        <w:t xml:space="preserve">— Paul explicitly cites Deuteronomy 21:23 to establish that Christ’s crucifixion was not an accident of history but the bearing of the covenantal curse; the hanged man of Deuteronomy becomes the exegetical ground for substitutionary atonement.</w:t>
      </w:r>
    </w:p>
    <w:p>
      <w:pPr>
        <w:numPr>
          <w:ilvl w:val="0"/>
          <w:numId w:val="1001"/>
        </w:numPr>
      </w:pPr>
      <w:r>
        <w:rPr>
          <w:b/>
          <w:bCs/>
        </w:rPr>
        <w:t xml:space="preserve">Numbers 35:30–34</w:t>
      </w:r>
      <w:r>
        <w:t xml:space="preserve"> </w:t>
      </w:r>
      <w:r>
        <w:t xml:space="preserve">— The land must not be polluted with bloodshed that goes unatoned; the LORD dwells in the land and the land cannot tolerate defilement — the theological ground for the heifer rite of Deuteronomy 21:1–9.</w:t>
      </w:r>
    </w:p>
    <w:p>
      <w:pPr>
        <w:numPr>
          <w:ilvl w:val="0"/>
          <w:numId w:val="1001"/>
        </w:numPr>
      </w:pPr>
      <w:r>
        <w:rPr>
          <w:b/>
          <w:bCs/>
        </w:rPr>
        <w:t xml:space="preserve">Genesis 9:5–6</w:t>
      </w:r>
      <w:r>
        <w:t xml:space="preserve"> </w:t>
      </w:r>
      <w:r>
        <w:t xml:space="preserve">— The lex talionis foundation: blood guilt is a covenant matter from the beginning; unsolved murder is not a legal technicality but an affront to the image of God in the victim.</w:t>
      </w:r>
    </w:p>
    <w:p>
      <w:pPr>
        <w:numPr>
          <w:ilvl w:val="0"/>
          <w:numId w:val="1001"/>
        </w:numPr>
      </w:pPr>
      <w:r>
        <w:rPr>
          <w:b/>
          <w:bCs/>
        </w:rPr>
        <w:t xml:space="preserve">Romans 3:23–26</w:t>
      </w:r>
      <w:r>
        <w:t xml:space="preserve"> </w:t>
      </w:r>
      <w:r>
        <w:t xml:space="preserve">— The curse borne by the executed Christ satisfies the justice that Deuteronomy 21 is concerned to maintain; the atonement that Israel’s elders and priests could only symbolically accomplish in the heifer rite is actually accomplished in Christ.</w:t>
      </w:r>
    </w:p>
    <w:p>
      <w:pPr>
        <w:numPr>
          <w:ilvl w:val="0"/>
          <w:numId w:val="1001"/>
        </w:numPr>
      </w:pPr>
      <w:r>
        <w:rPr>
          <w:b/>
          <w:bCs/>
        </w:rPr>
        <w:t xml:space="preserve">Isaiah 53:4–6, 10–12</w:t>
      </w:r>
      <w:r>
        <w:t xml:space="preserve"> </w:t>
      </w:r>
      <w:r>
        <w:t xml:space="preserve">— The Servant who bears the curse, carries the iniquity of the people, and is</w:t>
      </w:r>
      <w:r>
        <w:t xml:space="preserve"> </w:t>
      </w:r>
      <w:r>
        <w:t xml:space="preserve">“cut off from the land of the living”</w:t>
      </w:r>
      <w:r>
        <w:t xml:space="preserve"> </w:t>
      </w:r>
      <w:r>
        <w:t xml:space="preserve">is the canonical bridge between Deuteronomy 21:23 and Galatians 3:13.</w:t>
      </w:r>
    </w:p>
    <w:p>
      <w:r>
        <w:pict>
          <v:rect style="width:0;height:1.5pt" o:hralign="center" o:hrstd="t" o:hr="t"/>
        </w:pict>
      </w:r>
    </w:p>
    <w:p>
      <w:pPr>
        <w:pStyle w:val="FirstParagraph"/>
      </w:pPr>
      <w:r>
        <w:rPr>
          <w:b/>
          <w:bCs/>
        </w:rPr>
        <w:t xml:space="preserve">Aim:</w:t>
      </w:r>
      <w:r>
        <w:t xml:space="preserve"> </w:t>
      </w:r>
      <w:r>
        <w:t xml:space="preserve">To show that Deuteronomy 21’s concern for covenant purity in every domain of communal life reaches its culmination in the curse-bearing of Christ, and to call the reader to live as those for whom that curse has been fully borne.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21:1–2</w:t>
            </w:r>
          </w:p>
        </w:tc>
        <w:tc>
          <w:tcPr/>
          <w:p>
            <w:pPr>
              <w:pStyle w:val="Compact"/>
            </w:pPr>
            <w:r>
              <w:t xml:space="preserve">An unsolved murder in the land: the body found, the distance to surrounding cities measured</w:t>
            </w:r>
          </w:p>
        </w:tc>
        <w:tc>
          <w:tcPr/>
          <w:p>
            <w:pPr>
              <w:pStyle w:val="Compact"/>
            </w:pPr>
            <w:r>
              <w:t xml:space="preserve">The procedure begins with careful communal accountability; no murder is treated as without consequence</w:t>
            </w:r>
          </w:p>
        </w:tc>
      </w:tr>
      <w:tr>
        <w:tc>
          <w:tcPr/>
          <w:p>
            <w:pPr>
              <w:pStyle w:val="Compact"/>
            </w:pPr>
            <w:r>
              <w:t xml:space="preserve">21:3–4</w:t>
            </w:r>
          </w:p>
        </w:tc>
        <w:tc>
          <w:tcPr/>
          <w:p>
            <w:pPr>
              <w:pStyle w:val="Compact"/>
            </w:pPr>
            <w:r>
              <w:t xml:space="preserve">A heifer that has never worked is brought to a valley with flowing water and its neck is broken</w:t>
            </w:r>
          </w:p>
        </w:tc>
        <w:tc>
          <w:tcPr/>
          <w:p>
            <w:pPr>
              <w:pStyle w:val="Compact"/>
            </w:pPr>
            <w:r>
              <w:t xml:space="preserve">The unblemished, unworked heifer prefigures sacrificial substitution; the flowing water speaks to cleansing</w:t>
            </w:r>
          </w:p>
        </w:tc>
      </w:tr>
      <w:tr>
        <w:tc>
          <w:tcPr/>
          <w:p>
            <w:pPr>
              <w:pStyle w:val="Compact"/>
            </w:pPr>
            <w:r>
              <w:t xml:space="preserve">21:5</w:t>
            </w:r>
          </w:p>
        </w:tc>
        <w:tc>
          <w:tcPr/>
          <w:p>
            <w:pPr>
              <w:pStyle w:val="Compact"/>
            </w:pPr>
            <w:r>
              <w:t xml:space="preserve">The priests, sons of Levi, draw near — for theirs is the responsibility to bless and adjudicate disputes</w:t>
            </w:r>
          </w:p>
        </w:tc>
        <w:tc>
          <w:tcPr/>
          <w:p>
            <w:pPr>
              <w:pStyle w:val="Compact"/>
            </w:pPr>
            <w:r>
              <w:t xml:space="preserve">Priestly presence anchors the rite in covenant mediation</w:t>
            </w:r>
          </w:p>
        </w:tc>
      </w:tr>
      <w:tr>
        <w:tc>
          <w:tcPr/>
          <w:p>
            <w:pPr>
              <w:pStyle w:val="Compact"/>
            </w:pPr>
            <w:r>
              <w:t xml:space="preserve">21:6–7</w:t>
            </w:r>
          </w:p>
        </w:tc>
        <w:tc>
          <w:tcPr/>
          <w:p>
            <w:pPr>
              <w:pStyle w:val="Compact"/>
            </w:pPr>
            <w:r>
              <w:t xml:space="preserve">The elders of the nearest city wash their hands over the heifer and declare:</w:t>
            </w:r>
            <w:r>
              <w:t xml:space="preserve"> </w:t>
            </w:r>
            <w:r>
              <w:t xml:space="preserve">“Our hands did not shed this blood, nor did our eyes see it done”</w:t>
            </w:r>
          </w:p>
        </w:tc>
        <w:tc>
          <w:tcPr/>
          <w:p>
            <w:pPr>
              <w:pStyle w:val="Compact"/>
            </w:pPr>
            <w:r>
              <w:t xml:space="preserve">The handwashing is a public declaration of non-guilt; the declaration is both legal and covenantal</w:t>
            </w:r>
          </w:p>
        </w:tc>
      </w:tr>
      <w:tr>
        <w:tc>
          <w:tcPr/>
          <w:p>
            <w:pPr>
              <w:pStyle w:val="Compact"/>
            </w:pPr>
            <w:r>
              <w:t xml:space="preserve">21:8</w:t>
            </w:r>
          </w:p>
        </w:tc>
        <w:tc>
          <w:tcPr/>
          <w:p>
            <w:pPr>
              <w:pStyle w:val="Compact"/>
            </w:pPr>
            <w:r>
              <w:t xml:space="preserve">Prayer:</w:t>
            </w:r>
            <w:r>
              <w:t xml:space="preserve"> </w:t>
            </w:r>
            <w:r>
              <w:t xml:space="preserve">“Accept atonement, O LORD, for your people Israel, whom you have redeemed, and do not set the guilt of innocent blood in the midst of your people Israel”</w:t>
            </w:r>
          </w:p>
        </w:tc>
        <w:tc>
          <w:tcPr/>
          <w:p>
            <w:pPr>
              <w:pStyle w:val="Compact"/>
            </w:pPr>
            <w:r>
              <w:t xml:space="preserve">The word</w:t>
            </w:r>
            <w:r>
              <w:t xml:space="preserve"> </w:t>
            </w:r>
            <w:r>
              <w:rPr>
                <w:i/>
                <w:iCs/>
              </w:rPr>
              <w:t xml:space="preserve">kaphar</w:t>
            </w:r>
            <w:r>
              <w:t xml:space="preserve"> </w:t>
            </w:r>
            <w:r>
              <w:t xml:space="preserve">(atonement) is explicit; this is not merely civic procedure — it is a sacrificial and covenantal act</w:t>
            </w:r>
          </w:p>
        </w:tc>
      </w:tr>
      <w:tr>
        <w:tc>
          <w:tcPr/>
          <w:p>
            <w:pPr>
              <w:pStyle w:val="Compact"/>
            </w:pPr>
            <w:r>
              <w:t xml:space="preserve">21:9</w:t>
            </w:r>
          </w:p>
        </w:tc>
        <w:tc>
          <w:tcPr/>
          <w:p>
            <w:pPr>
              <w:pStyle w:val="Compact"/>
            </w:pPr>
            <w:r>
              <w:t xml:space="preserve">“So you shall purge the guilt of innocent blood from your midst, when you do what is right in the sight of the LORD”</w:t>
            </w:r>
          </w:p>
        </w:tc>
        <w:tc>
          <w:tcPr/>
          <w:p>
            <w:pPr>
              <w:pStyle w:val="Compact"/>
            </w:pPr>
            <w:r>
              <w:t xml:space="preserve">Closing refrain: right covenantal action purges guilt from the community</w:t>
            </w:r>
          </w:p>
        </w:tc>
      </w:tr>
      <w:tr>
        <w:tc>
          <w:tcPr/>
          <w:p>
            <w:pPr>
              <w:pStyle w:val="Compact"/>
            </w:pPr>
            <w:r>
              <w:t xml:space="preserve">21:10–11</w:t>
            </w:r>
          </w:p>
        </w:tc>
        <w:tc>
          <w:tcPr/>
          <w:p>
            <w:pPr>
              <w:pStyle w:val="Compact"/>
            </w:pPr>
            <w:r>
              <w:t xml:space="preserve">The captive woman taken as a wife: if a beautiful woman among the captives is desired, she may be taken</w:t>
            </w:r>
          </w:p>
        </w:tc>
        <w:tc>
          <w:tcPr/>
          <w:p>
            <w:pPr>
              <w:pStyle w:val="Compact"/>
            </w:pPr>
            <w:r>
              <w:t xml:space="preserve">The law does not prohibit the practice but immediately frames it with protections</w:t>
            </w:r>
          </w:p>
        </w:tc>
      </w:tr>
      <w:tr>
        <w:tc>
          <w:tcPr/>
          <w:p>
            <w:pPr>
              <w:pStyle w:val="Compact"/>
            </w:pPr>
            <w:r>
              <w:t xml:space="preserve">21:12–13</w:t>
            </w:r>
          </w:p>
        </w:tc>
        <w:tc>
          <w:tcPr/>
          <w:p>
            <w:pPr>
              <w:pStyle w:val="Compact"/>
            </w:pPr>
            <w:r>
              <w:t xml:space="preserve">She is to shave her head, pare her nails, remove her captive’s garb, remain in the soldier’s house for a full month mourning her father and mother</w:t>
            </w:r>
          </w:p>
        </w:tc>
        <w:tc>
          <w:tcPr/>
          <w:p>
            <w:pPr>
              <w:pStyle w:val="Compact"/>
            </w:pPr>
            <w:r>
              <w:t xml:space="preserve">The mourning period is a profound protection of her humanity; it delays and humanizes the process</w:t>
            </w:r>
          </w:p>
        </w:tc>
      </w:tr>
      <w:tr>
        <w:tc>
          <w:tcPr/>
          <w:p>
            <w:pPr>
              <w:pStyle w:val="Compact"/>
            </w:pPr>
            <w:r>
              <w:t xml:space="preserve">21:14</w:t>
            </w:r>
          </w:p>
        </w:tc>
        <w:tc>
          <w:tcPr/>
          <w:p>
            <w:pPr>
              <w:pStyle w:val="Compact"/>
            </w:pPr>
            <w:r>
              <w:t xml:space="preserve">If the soldier is not pleased with her after taking her as wife, he must let her go free — she may not be sold or treated as a slave</w:t>
            </w:r>
          </w:p>
        </w:tc>
        <w:tc>
          <w:tcPr/>
          <w:p>
            <w:pPr>
              <w:pStyle w:val="Compact"/>
            </w:pPr>
            <w:r>
              <w:t xml:space="preserve">Her freedom is explicitly protected; the law refuses to allow her to become property</w:t>
            </w:r>
          </w:p>
        </w:tc>
      </w:tr>
      <w:tr>
        <w:tc>
          <w:tcPr/>
          <w:p>
            <w:pPr>
              <w:pStyle w:val="Compact"/>
            </w:pPr>
            <w:r>
              <w:t xml:space="preserve">21:15–16</w:t>
            </w:r>
          </w:p>
        </w:tc>
        <w:tc>
          <w:tcPr/>
          <w:p>
            <w:pPr>
              <w:pStyle w:val="Compact"/>
            </w:pPr>
            <w:r>
              <w:t xml:space="preserve">The firstborn of the unloved wife must not be disinherited in favor of the son of the loved wife</w:t>
            </w:r>
          </w:p>
        </w:tc>
        <w:tc>
          <w:tcPr/>
          <w:p>
            <w:pPr>
              <w:pStyle w:val="Compact"/>
            </w:pPr>
            <w:r>
              <w:t xml:space="preserve">Paternal favoritism is constrained by covenant law; the firstborn’s right is not contingent on his mother’s standing</w:t>
            </w:r>
          </w:p>
        </w:tc>
      </w:tr>
      <w:tr>
        <w:tc>
          <w:tcPr/>
          <w:p>
            <w:pPr>
              <w:pStyle w:val="Compact"/>
            </w:pPr>
            <w:r>
              <w:t xml:space="preserve">21:17</w:t>
            </w:r>
          </w:p>
        </w:tc>
        <w:tc>
          <w:tcPr/>
          <w:p>
            <w:pPr>
              <w:pStyle w:val="Compact"/>
            </w:pPr>
            <w:r>
              <w:t xml:space="preserve">The firstborn must receive the double portion —</w:t>
            </w:r>
            <w:r>
              <w:t xml:space="preserve"> </w:t>
            </w:r>
            <w:r>
              <w:t xml:space="preserve">“for he is the firstfruits of his strength; the right of the firstborn is his”</w:t>
            </w:r>
          </w:p>
        </w:tc>
        <w:tc>
          <w:tcPr/>
          <w:p>
            <w:pPr>
              <w:pStyle w:val="Compact"/>
            </w:pPr>
            <w:r>
              <w:t xml:space="preserve">The firstfruits language elevates the firstborn’s status to a covenantal category</w:t>
            </w:r>
          </w:p>
        </w:tc>
      </w:tr>
      <w:tr>
        <w:tc>
          <w:tcPr/>
          <w:p>
            <w:pPr>
              <w:pStyle w:val="Compact"/>
            </w:pPr>
            <w:r>
              <w:t xml:space="preserve">21:18–19</w:t>
            </w:r>
          </w:p>
        </w:tc>
        <w:tc>
          <w:tcPr/>
          <w:p>
            <w:pPr>
              <w:pStyle w:val="Compact"/>
            </w:pPr>
            <w:r>
              <w:t xml:space="preserve">The rebellious son: a son who is stubborn and rebellious, will not obey, is a glutton and a drunkard — his parents are to bring him to the elders at the gate</w:t>
            </w:r>
          </w:p>
        </w:tc>
        <w:tc>
          <w:tcPr/>
          <w:p>
            <w:pPr>
              <w:pStyle w:val="Compact"/>
            </w:pPr>
            <w:r>
              <w:t xml:space="preserve">The matter is taken out of private parental hands; the community bears responsibility for public covenant order</w:t>
            </w:r>
          </w:p>
        </w:tc>
      </w:tr>
      <w:tr>
        <w:tc>
          <w:tcPr/>
          <w:p>
            <w:pPr>
              <w:pStyle w:val="Compact"/>
            </w:pPr>
            <w:r>
              <w:t xml:space="preserve">21:20</w:t>
            </w:r>
          </w:p>
        </w:tc>
        <w:tc>
          <w:tcPr/>
          <w:p>
            <w:pPr>
              <w:pStyle w:val="Compact"/>
            </w:pPr>
            <w:r>
              <w:t xml:space="preserve">The parents declare:</w:t>
            </w:r>
            <w:r>
              <w:t xml:space="preserve"> </w:t>
            </w:r>
            <w:r>
              <w:t xml:space="preserve">“This our son is stubborn and rebellious; he will not obey our voice; he is a glutton and a drunkard”</w:t>
            </w:r>
          </w:p>
        </w:tc>
        <w:tc>
          <w:tcPr/>
          <w:p>
            <w:pPr>
              <w:pStyle w:val="Compact"/>
            </w:pPr>
            <w:r>
              <w:t xml:space="preserve">The charges are specific and public; this is not a discipline matter — this is a covenant apostasy matter</w:t>
            </w:r>
          </w:p>
        </w:tc>
      </w:tr>
      <w:tr>
        <w:tc>
          <w:tcPr/>
          <w:p>
            <w:pPr>
              <w:pStyle w:val="Compact"/>
            </w:pPr>
            <w:r>
              <w:t xml:space="preserve">21:21</w:t>
            </w:r>
          </w:p>
        </w:tc>
        <w:tc>
          <w:tcPr/>
          <w:p>
            <w:pPr>
              <w:pStyle w:val="Compact"/>
            </w:pPr>
            <w:r>
              <w:t xml:space="preserve">All the men of the city shall stone him to death;</w:t>
            </w:r>
            <w:r>
              <w:t xml:space="preserve"> </w:t>
            </w:r>
            <w:r>
              <w:t xml:space="preserve">“so you shall purge the evil from your midst, and all Israel shall hear, and fear”</w:t>
            </w:r>
          </w:p>
        </w:tc>
        <w:tc>
          <w:tcPr/>
          <w:p>
            <w:pPr>
              <w:pStyle w:val="Compact"/>
            </w:pPr>
            <w:r>
              <w:t xml:space="preserve">The dual purpose: purging evil and producing deterrence through public knowledge</w:t>
            </w:r>
          </w:p>
        </w:tc>
      </w:tr>
      <w:tr>
        <w:tc>
          <w:tcPr/>
          <w:p>
            <w:pPr>
              <w:pStyle w:val="Compact"/>
            </w:pPr>
            <w:r>
              <w:t xml:space="preserve">21:22–23</w:t>
            </w:r>
          </w:p>
        </w:tc>
        <w:tc>
          <w:tcPr/>
          <w:p>
            <w:pPr>
              <w:pStyle w:val="Compact"/>
            </w:pPr>
            <w:r>
              <w:t xml:space="preserve">A man executed for a capital crime: if hanged on a tree, the body must be buried the same day —</w:t>
            </w:r>
            <w:r>
              <w:t xml:space="preserve"> </w:t>
            </w:r>
            <w:r>
              <w:t xml:space="preserve">“for a hanged man is cursed by God”</w:t>
            </w:r>
            <w:r>
              <w:t xml:space="preserve"> </w:t>
            </w:r>
            <w:r>
              <w:t xml:space="preserve">— lest the land be defiled</w:t>
            </w:r>
          </w:p>
        </w:tc>
        <w:tc>
          <w:tcPr/>
          <w:p>
            <w:pPr>
              <w:pStyle w:val="Compact"/>
            </w:pPr>
            <w:r>
              <w:t xml:space="preserve">The theological apex of the chapter: the executed man bears divine curse; the land must not be polluted by a curse left exposed overnight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21:1–9</w:t>
            </w:r>
          </w:p>
        </w:tc>
        <w:tc>
          <w:tcPr/>
          <w:p>
            <w:pPr>
              <w:pStyle w:val="Compact"/>
            </w:pPr>
            <w:r>
              <w:t xml:space="preserve">Unsolved Murder: Communal Atonement for Blood Guilt in the Land</w:t>
            </w:r>
          </w:p>
        </w:tc>
      </w:tr>
      <w:tr>
        <w:tc>
          <w:tcPr/>
          <w:p>
            <w:pPr>
              <w:pStyle w:val="Compact"/>
            </w:pPr>
            <w:r>
              <w:t xml:space="preserve">2</w:t>
            </w:r>
          </w:p>
        </w:tc>
        <w:tc>
          <w:tcPr/>
          <w:p>
            <w:pPr>
              <w:pStyle w:val="Compact"/>
            </w:pPr>
            <w:r>
              <w:t xml:space="preserve">21:10–14</w:t>
            </w:r>
          </w:p>
        </w:tc>
        <w:tc>
          <w:tcPr/>
          <w:p>
            <w:pPr>
              <w:pStyle w:val="Compact"/>
            </w:pPr>
            <w:r>
              <w:t xml:space="preserve">The Captive Wife: Protecting the Dignity of the Vulnerable in War</w:t>
            </w:r>
          </w:p>
        </w:tc>
      </w:tr>
      <w:tr>
        <w:tc>
          <w:tcPr/>
          <w:p>
            <w:pPr>
              <w:pStyle w:val="Compact"/>
            </w:pPr>
            <w:r>
              <w:t xml:space="preserve">3</w:t>
            </w:r>
          </w:p>
        </w:tc>
        <w:tc>
          <w:tcPr/>
          <w:p>
            <w:pPr>
              <w:pStyle w:val="Compact"/>
            </w:pPr>
            <w:r>
              <w:t xml:space="preserve">21:15–17</w:t>
            </w:r>
          </w:p>
        </w:tc>
        <w:tc>
          <w:tcPr/>
          <w:p>
            <w:pPr>
              <w:pStyle w:val="Compact"/>
            </w:pPr>
            <w:r>
              <w:t xml:space="preserve">The Firstborn’s Right: Covenant Order Over Paternal Favoritism</w:t>
            </w:r>
          </w:p>
        </w:tc>
      </w:tr>
      <w:tr>
        <w:tc>
          <w:tcPr/>
          <w:p>
            <w:pPr>
              <w:pStyle w:val="Compact"/>
            </w:pPr>
            <w:r>
              <w:t xml:space="preserve">4</w:t>
            </w:r>
          </w:p>
        </w:tc>
        <w:tc>
          <w:tcPr/>
          <w:p>
            <w:pPr>
              <w:pStyle w:val="Compact"/>
            </w:pPr>
            <w:r>
              <w:t xml:space="preserve">21:18–21</w:t>
            </w:r>
          </w:p>
        </w:tc>
        <w:tc>
          <w:tcPr/>
          <w:p>
            <w:pPr>
              <w:pStyle w:val="Compact"/>
            </w:pPr>
            <w:r>
              <w:t xml:space="preserve">The Rebellious Son: Purging Persistent Covenant Apostasy from the Community</w:t>
            </w:r>
          </w:p>
        </w:tc>
      </w:tr>
      <w:tr>
        <w:tc>
          <w:tcPr/>
          <w:p>
            <w:pPr>
              <w:pStyle w:val="Compact"/>
            </w:pPr>
            <w:r>
              <w:t xml:space="preserve">5</w:t>
            </w:r>
          </w:p>
        </w:tc>
        <w:tc>
          <w:tcPr/>
          <w:p>
            <w:pPr>
              <w:pStyle w:val="Compact"/>
            </w:pPr>
            <w:r>
              <w:t xml:space="preserve">21:22–23</w:t>
            </w:r>
          </w:p>
        </w:tc>
        <w:tc>
          <w:tcPr/>
          <w:p>
            <w:pPr>
              <w:pStyle w:val="Compact"/>
            </w:pPr>
            <w:r>
              <w:t xml:space="preserve">The Hanged Man: The Curse of God and the Defilement of the Land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orders communal life under Torah so that the covenant land is kept free from blood guilt, exploitation, and defilement.</w:t>
      </w:r>
    </w:p>
    <w:p>
      <w:pPr>
        <w:pStyle w:val="BodyText"/>
      </w:pPr>
      <w:r>
        <w:rPr>
          <w:b/>
          <w:bCs/>
        </w:rPr>
        <w:t xml:space="preserve">Primary Claim:</w:t>
      </w:r>
      <w:r>
        <w:t xml:space="preserve"> </w:t>
      </w:r>
      <w:r>
        <w:t xml:space="preserve">God is calling His covenant people to take seriously that every disorder in human community — unresolved death, exploited vulnerability, corrupted inheritance, incorrigible rebellion, and the curse of execution — carries weight before Him and must be addressed by right order, not ignored; and beneath it all, the curse that hangs over the executed man points forward to the One who will bear the full weight of that curse for His people.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that nothing in community life is beneath God’s covenantal concern.</w:t>
      </w:r>
      <w:r>
        <w:t xml:space="preserve"> </w:t>
      </w:r>
      <w:r>
        <w:t xml:space="preserve">The five cases in Deuteronomy 21 span the full range of communal experience: unexplained death, sexual desire in war, inheritance rivalry, family breakdown, criminal execution. God addresses them all with equal seriousness. The reader who compartmentalizes life into</w:t>
      </w:r>
      <w:r>
        <w:t xml:space="preserve"> </w:t>
      </w:r>
      <w:r>
        <w:t xml:space="preserve">“sacred”</w:t>
      </w:r>
      <w:r>
        <w:t xml:space="preserve"> </w:t>
      </w:r>
      <w:r>
        <w:t xml:space="preserve">and</w:t>
      </w:r>
      <w:r>
        <w:t xml:space="preserve"> </w:t>
      </w:r>
      <w:r>
        <w:t xml:space="preserve">“secular”</w:t>
      </w:r>
      <w:r>
        <w:t xml:space="preserve"> </w:t>
      </w:r>
      <w:r>
        <w:t xml:space="preserve">domains — where God is involved in worship but not in inheritance law, marriage, or family conflict — has a shrunken God. The LORD who gave these laws is the LORD who is present in the land, dwelling among His people, and for whom nothing is merely private, merely political, or merely procedural. Receive the totality of His claim.</w:t>
      </w:r>
    </w:p>
    <w:p>
      <w:pPr>
        <w:pStyle w:val="BodyText"/>
      </w:pPr>
      <w:r>
        <w:rPr>
          <w:b/>
          <w:bCs/>
        </w:rPr>
        <w:t xml:space="preserve">2. (Affections/Worship) — Let the curse-bearing of Christ move you to genuine worship, not merely doctrinal acknowledgment.</w:t>
      </w:r>
      <w:r>
        <w:t xml:space="preserve"> </w:t>
      </w:r>
      <w:r>
        <w:t xml:space="preserve">Deuteronomy 21:23 says the executed man is</w:t>
      </w:r>
      <w:r>
        <w:t xml:space="preserve"> </w:t>
      </w:r>
      <w:r>
        <w:t xml:space="preserve">“cursed by God.”</w:t>
      </w:r>
      <w:r>
        <w:t xml:space="preserve"> </w:t>
      </w:r>
      <w:r>
        <w:t xml:space="preserve">When Paul in Galatians 3:13 says Christ</w:t>
      </w:r>
      <w:r>
        <w:t xml:space="preserve"> </w:t>
      </w:r>
      <w:r>
        <w:t xml:space="preserve">“became a curse for us”</w:t>
      </w:r>
      <w:r>
        <w:t xml:space="preserve"> </w:t>
      </w:r>
      <w:r>
        <w:t xml:space="preserve">by being hung on a tree, he is not drawing a clever proof-text — he is pointing to the most terrible and most glorious exchange in human history. The Son of God, on the cross, occupied the place of the covenant criminal, the one hanging in shame under divine curse. That verse in Deuteronomy was always leaning toward Calvary. Let it land. The proper response to this is not simply intellectual assent to substitutionary atonement; it is the kind of awe, gratitude, and reoriented love that Paul himself expresses in Galatians 2:20 —</w:t>
      </w:r>
      <w:r>
        <w:t xml:space="preserve"> </w:t>
      </w:r>
      <w:r>
        <w:t xml:space="preserve">“He loved me and gave himself for me.”</w:t>
      </w:r>
    </w:p>
    <w:p>
      <w:pPr>
        <w:pStyle w:val="BodyText"/>
      </w:pPr>
      <w:r>
        <w:rPr>
          <w:b/>
          <w:bCs/>
        </w:rPr>
        <w:t xml:space="preserve">3. (Will/Behavior) — Where there is unresolved harm in your community, act — do not assume someone else will handle it.</w:t>
      </w:r>
      <w:r>
        <w:t xml:space="preserve"> </w:t>
      </w:r>
      <w:r>
        <w:t xml:space="preserve">The heifer rite in verses 1–9 is striking precisely because it refuses to allow the death of an unknown person to go unaddressed. The elders do not say,</w:t>
      </w:r>
      <w:r>
        <w:t xml:space="preserve"> </w:t>
      </w:r>
      <w:r>
        <w:t xml:space="preserve">“We don’t know who did it, so nothing can be done.”</w:t>
      </w:r>
      <w:r>
        <w:t xml:space="preserve"> </w:t>
      </w:r>
      <w:r>
        <w:t xml:space="preserve">They perform a public rite of atonement, pray for cleansing, and take communal responsibility for a death that is not their fault. This is the opposite of diffused responsibility. The specific application: where there is harm, injustice, or unaddressed wrong in your family, church, or community — name it, bring it forward, and take communal action rather than letting it fester under the assumption that anonymity absolves.</w:t>
      </w:r>
    </w:p>
    <w:p>
      <w:pPr>
        <w:pStyle w:val="BodyText"/>
      </w:pPr>
      <w:r>
        <w:rPr>
          <w:b/>
          <w:bCs/>
        </w:rPr>
        <w:t xml:space="preserve">4. (Mind/Belief) — Understand that covenant order is not the enemy of mercy but its precondition.</w:t>
      </w:r>
      <w:r>
        <w:t xml:space="preserve"> </w:t>
      </w:r>
      <w:r>
        <w:t xml:space="preserve">The most difficult law in this chapter — the rebellious son (vv. 18–21) — strikes modern readers as brutal and unloving. But the text is not indifferent to mercy; it builds in multiple procedural protections (parents must agree, elders must be involved, the case must be publicly adjudicated). The sentence is reserved for a son who is persistently, publicly, incorrigibly destructive — a glutton and drunkard who has rejected all authority. The law’s severity is not evidence of God’s harshness but of the seriousness with which He guards the community He has formed. A theology that collapses</w:t>
      </w:r>
      <w:r>
        <w:t xml:space="preserve"> </w:t>
      </w:r>
      <w:r>
        <w:t xml:space="preserve">“mercy”</w:t>
      </w:r>
      <w:r>
        <w:t xml:space="preserve"> </w:t>
      </w:r>
      <w:r>
        <w:t xml:space="preserve">into the indefinite tolerance of destructive behavior has confused sentimentality with love. Covenant order — real boundaries with real consequences — is what makes a community safe for the vulnerable.</w:t>
      </w:r>
    </w:p>
    <w:p>
      <w:pPr>
        <w:pStyle w:val="BodyText"/>
      </w:pPr>
      <w:r>
        <w:rPr>
          <w:b/>
          <w:bCs/>
        </w:rPr>
        <w:t xml:space="preserve">5. (Affections/Worship) — Allow your grief over the world’s disorder to be shaped by a longing for Christ’s return and final purging of all evil.</w:t>
      </w:r>
      <w:r>
        <w:t xml:space="preserve"> </w:t>
      </w:r>
      <w:r>
        <w:t xml:space="preserve">Every law in Deuteronomy 21 is a response to disorder: a death unsolved, a woman objectified, a birthright threatened, a son incorrigible, a body left exposed in curse. Israel lived in a world where these things happened regularly, and Torah was given to address them. We live in the same world, with the same disorders. The proper affectional response is neither despair (</w:t>
      </w:r>
      <w:r>
        <w:t xml:space="preserve">“nothing will ever be right”</w:t>
      </w:r>
      <w:r>
        <w:t xml:space="preserve">) nor naïve optimism (</w:t>
      </w:r>
      <w:r>
        <w:t xml:space="preserve">“we can fix this ourselves”</w:t>
      </w:r>
      <w:r>
        <w:t xml:space="preserve">) but a groaning longing — Romans 8:22–23 — for the day when the One who bore the curse returns to finally purge all evil, wipe every tear, and make all things new. Let these laws grieve you and aim you toward that day.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21 teaches that the LORD is the God of total community — there is no domain of human life that escapes His covenantal attention. Life, death, marriage, inheritance, family authority, and criminal justice are all His territory. The chapter also teaches with unusual directness that blood guilt is a real and weighty thing: innocent blood shed and unatoned defiles the land and must be ritually and communally addressed. God is not indifferent to injustice, even when the perpetrator is unknown. Most significantly, the phrase</w:t>
      </w:r>
      <w:r>
        <w:t xml:space="preserve"> </w:t>
      </w:r>
      <w:r>
        <w:t xml:space="preserve">“cursed by God”</w:t>
      </w:r>
      <w:r>
        <w:t xml:space="preserve"> </w:t>
      </w:r>
      <w:r>
        <w:t xml:space="preserve">in verse 23 introduces a category of divine curse that is not merely social shame — it is a real, theological weight placed upon the one executed and hung on a tree. This theological weight, once introduced into the canon, will not rest until it finds its ultimate bearing in the cross of Christ.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21 is a foundational passage for the Reformed doctrine of substitutionary atonement precisely because verse 23 establishes that execution by hanging carries the weight of divine curse — a curse that Paul explicitly transfers to Christ in Galatians 3:13. The Reformed reading of the atonement has always insisted that what Christ bore on the cross was not merely physical suffering or social shame but the actual curse of God against sin — the covenant judgment that sinners deserve. Deuteronomy 21:23 is one of the Old Testament’s clearest warrants for this claim. The chapter also illustrates the Reformed insistence that law and grace are not opposites: these laws protect the weak (the captive woman, the firstborn of the unloved wife), establish communal accountability (the heifer rite, the elders’ role in the rebellious son case), and ultimately point beyond themselves to the One who will fully accomplish what they could only symbolize. The law of Moses is, as Calvin insisted, a tutor driving us toward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laws of Deuteronomy 21 are not relics of an ancient legal code — they are God’s declaration that every human disorder has weight before Him, that blood guilt, exploitation, broken family order, and the curse of execution are all covenant matters He will not ignore. And at the center of it all stands the most startling verse in the chapter: the man hung on a tree is cursed by God. That curse was real. And Jesus Christ, hanging on a cross, stepped into it completely — bearing every curse that belongs to His rebellious people, so that those who are in Him might walk free, no longer under judgment, no longer orphaned, no longer exposed. Live accordingly.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miscellany with no theological spine.</w:t>
      </w:r>
      <w:r>
        <w:t xml:space="preserve"> </w:t>
      </w:r>
      <w:r>
        <w:t xml:space="preserve">The most common error is preaching each of the five cases in isolation, as if they were five separate topics loosely stitched together. This misses the unifying thread: covenant purity in the land, the purging of evil from the community, and the serious weight of blood guilt and divine curse. The preacher who does not surface the chapter’s organizing principle will produce a lesson that feels like a law school survey course rather than a word from the Lord.</w:t>
      </w:r>
    </w:p>
    <w:p>
      <w:pPr>
        <w:numPr>
          <w:ilvl w:val="0"/>
          <w:numId w:val="1002"/>
        </w:numPr>
      </w:pPr>
      <w:r>
        <w:rPr>
          <w:b/>
          <w:bCs/>
        </w:rPr>
        <w:t xml:space="preserve">Skipping or minimizing Deuteronomy 21:23 and its canonical fulfillment.</w:t>
      </w:r>
      <w:r>
        <w:t xml:space="preserve"> </w:t>
      </w:r>
      <w:r>
        <w:t xml:space="preserve">This is the theological apex of the chapter. To treat it as a minor purity regulation while ignoring Paul’s citation in Galatians 3:13 is to handle one of the Old Testament’s most significant christological forward-pointers without following the line Scripture itself draws. The preacher must not leave the congregation in Deuteronomy without showing them where the curse lands — and Who bears it.</w:t>
      </w:r>
    </w:p>
    <w:p>
      <w:pPr>
        <w:numPr>
          <w:ilvl w:val="0"/>
          <w:numId w:val="1002"/>
        </w:numPr>
      </w:pPr>
      <w:r>
        <w:rPr>
          <w:b/>
          <w:bCs/>
        </w:rPr>
        <w:t xml:space="preserve">Over-reading the captive woman law as either a full endorsement or a full condemnation.</w:t>
      </w:r>
      <w:r>
        <w:t xml:space="preserve"> </w:t>
      </w:r>
      <w:r>
        <w:t xml:space="preserve">On one side: presenting this law as a straightforward biblical sanction for military capture and forced marriage imports moral indifference to the woman’s situation. On the other side: reading this law as an abolitionist text that condemned the practice outright also misreads it. The law’s function is to insert the woman’s humanity into the legal framework — her grief must be honored, her freedom must be protected if the marriage dissolves. That is the point, and it is significant enough without requiring either endorsement or condemnation of the broader practice.</w:t>
      </w:r>
    </w:p>
    <w:p>
      <w:pPr>
        <w:numPr>
          <w:ilvl w:val="0"/>
          <w:numId w:val="1002"/>
        </w:numPr>
      </w:pPr>
      <w:r>
        <w:rPr>
          <w:b/>
          <w:bCs/>
        </w:rPr>
        <w:t xml:space="preserve">Preaching the rebellious son law in a way that produces either modern discomfort avoidance or moralizing severity.</w:t>
      </w:r>
      <w:r>
        <w:t xml:space="preserve"> </w:t>
      </w:r>
      <w:r>
        <w:t xml:space="preserve">Preachers who skip this section because it is difficult surrender a real teaching opportunity. Preachers who dwell on the severity without surfacing the covenantal logic (this is a public, persistent, incorrigible covenant apostate — not a difficult teenager) produce a distorted view of God’s character. The key is to show that the procedure is itself a mercy (parental agreement required, public elders involved, escalation path built in) and that the sentence reflects the seriousness with which God guards the community He forms.</w:t>
      </w:r>
    </w:p>
    <w:p>
      <w:pPr>
        <w:numPr>
          <w:ilvl w:val="0"/>
          <w:numId w:val="1002"/>
        </w:numPr>
      </w:pPr>
      <w:r>
        <w:rPr>
          <w:b/>
          <w:bCs/>
        </w:rPr>
        <w:t xml:space="preserve">Reducing the heifer rite (vv. 1–9) to an ancient curiosity.</w:t>
      </w:r>
      <w:r>
        <w:t xml:space="preserve"> </w:t>
      </w:r>
      <w:r>
        <w:t xml:space="preserve">The</w:t>
      </w:r>
      <w:r>
        <w:t xml:space="preserve"> </w:t>
      </w:r>
      <w:r>
        <w:rPr>
          <w:i/>
          <w:iCs/>
        </w:rPr>
        <w:t xml:space="preserve">kaphar</w:t>
      </w:r>
      <w:r>
        <w:t xml:space="preserve"> </w:t>
      </w:r>
      <w:r>
        <w:t xml:space="preserve">language in verse 8 is explicit: this is atonement. The elders are seeking the covering of blood guilt through a substitutionary rite because unsolved murder is not allowed to rest unaddressed. The preacher who treats this as merely an interesting anthropological custom misses its theological weight: God requires that innocent blood be accounted for, and that accounting has a sacrificial structure. This is preparation for Calvary, not an oddity from an ancient legal code.</w:t>
      </w:r>
    </w:p>
    <w:p>
      <w:pPr>
        <w:numPr>
          <w:ilvl w:val="0"/>
          <w:numId w:val="1002"/>
        </w:numPr>
      </w:pPr>
      <w:r>
        <w:rPr>
          <w:b/>
          <w:bCs/>
        </w:rPr>
        <w:t xml:space="preserve">Failing to apply the chapter’s total-life covenantal claim to the congregation’s actual life.</w:t>
      </w:r>
      <w:r>
        <w:t xml:space="preserve"> </w:t>
      </w:r>
      <w:r>
        <w:t xml:space="preserve">The laws of Deuteronomy 21 cover marriage, inheritance, family conflict, criminal justice, and death. If the preacher’s application stays purely at the level of</w:t>
      </w:r>
      <w:r>
        <w:t xml:space="preserve"> </w:t>
      </w:r>
      <w:r>
        <w:t xml:space="preserve">“Christ bore the curse,”</w:t>
      </w:r>
      <w:r>
        <w:t xml:space="preserve"> </w:t>
      </w:r>
      <w:r>
        <w:t xml:space="preserve">the congregation is left with a doctrinal conclusion but no sense that these laws address the actual texture of their lives. The chapter demands application to the real domains it addresses: how Christians handle unresolved harm in community, how they treat the vulnerable in their midst, how they think about family order and parental authority, and how they respond to persistent, public, incorrigible sin in the community of faith.</w:t>
      </w:r>
    </w:p>
    <w:p>
      <w:r>
        <w:pict>
          <v:rect style="width:0;height:1.5pt" o:hralign="center" o:hrstd="t" o:hr="t"/>
        </w:pict>
      </w:r>
    </w:p>
    <w:p>
      <w:pPr>
        <w:pStyle w:val="FirstParagraph"/>
      </w:pPr>
      <w:r>
        <w:rPr>
          <w:i/>
          <w:iCs/>
        </w:rPr>
        <w:t xml:space="preserve">Generated per CLAUDE2.md framework. File: 05 Deuteronomy 21.docx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2026-07-14T21:02:07Z</dcterms:created>
  <dcterms:modified xsi:type="dcterms:W3CDTF">2026-07-14T21:02:07Z</dcterms:modified>
</cp:coreProperties>
</file>

<file path=docProps/custom.xml><?xml version="1.0" encoding="utf-8"?>
<Properties xmlns="http://schemas.openxmlformats.org/officeDocument/2006/custom-properties" xmlns:vt="http://schemas.openxmlformats.org/officeDocument/2006/docPropsVTypes"/>
</file>